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浙江省生态与环境修复服务能力评价申请表</w:t>
      </w:r>
    </w:p>
    <w:tbl>
      <w:tblPr>
        <w:tblStyle w:val="4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ind w:firstLine="3652" w:firstLineChars="800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8"/>
                <w:sz w:val="44"/>
                <w:szCs w:val="44"/>
              </w:rPr>
              <w:t xml:space="preserve">施工类 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color w:val="auto"/>
                <w:spacing w:val="8"/>
                <w:sz w:val="44"/>
                <w:szCs w:val="4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5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  <w:t>□浙江省生态与环境修复工程总承包服务能力评价证书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申报项目请打√）</w:t>
            </w:r>
            <w:r>
              <w:rPr>
                <w:rFonts w:hint="eastAsia" w:ascii="宋体" w:hAnsi="宋体" w:eastAsia="宋体" w:cs="宋体"/>
                <w:color w:val="auto"/>
              </w:rPr>
              <w:t>□废气治理工程  □废水处理工程 □固废暂存与咨询服务 □</w:t>
            </w:r>
            <w:r>
              <w:rPr>
                <w:rFonts w:hint="eastAsia" w:ascii="宋体" w:hAnsi="宋体" w:eastAsia="宋体" w:cs="宋体"/>
                <w:color w:val="auto"/>
                <w:lang w:val="zh-TW"/>
              </w:rPr>
              <w:t>污泥预处理工程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  □噪声与振动治理工程  □设备安装调试   □污水 、垃圾处理建设 □农村垃圾专项治理   □农村生活污水处理  □河道治理   □湖泊治理  □河湖管护 □水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源保护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□生物多样性 □海洋污染治理□船舶污染控制 □港口码头污染防治 □养殖水污染治理  □矿山生态和环境修复 □水环境综合治理 □农田整治 □退化污染土地修复治理□草原 □湿地 □荒漠 □河流  □滩涂 □绿化造林□景观园林建设 □湿地建设 □其他（请注明）：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5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  <w:t xml:space="preserve">□浙江省生态与环境修复专项设计服务能力评价证书 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申报项目请打√）</w:t>
            </w:r>
            <w:r>
              <w:rPr>
                <w:rFonts w:hint="eastAsia" w:ascii="宋体" w:hAnsi="宋体" w:eastAsia="宋体" w:cs="宋体"/>
                <w:color w:val="auto"/>
              </w:rPr>
              <w:t>□废气治理工程  □废水处理工程  □固废暂存与咨询服务 □</w:t>
            </w:r>
            <w:r>
              <w:rPr>
                <w:rFonts w:hint="eastAsia" w:ascii="宋体" w:hAnsi="宋体" w:eastAsia="宋体" w:cs="宋体"/>
                <w:color w:val="auto"/>
                <w:lang w:val="zh-TW"/>
              </w:rPr>
              <w:t>污泥预处理工程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  □噪声与振动治理工程  □设备安装调试   □污水 、垃圾处理建设 □农村垃圾专项治理   □农村生活污水处理    □河道治理   □湖泊治理  □河湖管护  □水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源保护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□生物多样性 □海洋污染治理□船舶污染控制 □港口码头污染防治 □水产养殖污染治理  □矿山生态和环境修复 □水环境综合治理 □农田整治 □退化污染土地修复治理□草原 □湿地 □荒漠 □河流  □滩涂 □绿化造林 □景观园林建设 □湿地建设□其他（请注明）：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1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  <w:t>□浙江省土壤-地下水修复工程服务能力评价证书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（申报项目请打√）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□农用地土壤改良与修复  □场地（区域）环境调查与风险评估  □场地（区域）污染筛查与现场检测 □污染地块防控与修复方案设计与编制  □污染地块防控与修复工程施工  □土壤-地下水防控与修复工程环境监理  □土壤-地下水防控与修复工程效果评估□其他（请注明）：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sz w:val="32"/>
                <w:szCs w:val="32"/>
              </w:rPr>
              <w:t>浙江省土壤污染防治服务能力评价证书</w:t>
            </w:r>
          </w:p>
          <w:p>
            <w:pPr>
              <w:spacing w:beforeLines="50" w:line="0" w:lineRule="atLeas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（申报项目请打√）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□地块环境调查与风险评估  □污染地块风险管控与修复方案设计</w:t>
            </w:r>
          </w:p>
          <w:p>
            <w:pPr>
              <w:spacing w:beforeLines="50" w:line="0" w:lineRule="atLeas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 □污染地块风险管控与修复工程施□污染地块风险管控与修复工程环境监理  </w:t>
            </w:r>
          </w:p>
          <w:p>
            <w:pPr>
              <w:spacing w:beforeLines="50" w:line="0" w:lineRule="atLeast"/>
              <w:ind w:firstLine="220" w:firstLineChars="100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□污染地块风险管控与修复工程效果评估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浙江省矿山生态修复总承包服务能力评价证书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浙江省矿山生态修复专项设计机构等级证书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浙江省污泥处理处置总承包服务能力评价证书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浙江省生态环境修复工程实施服务能力评价证书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服务范围：（请打√） □废水处理   □废气治理  □土壤修复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ind w:firstLine="2883" w:firstLineChars="900"/>
              <w:rPr>
                <w:rFonts w:ascii="宋体" w:hAnsi="宋体" w:eastAsia="宋体" w:cs="宋体"/>
                <w:b/>
                <w:bCs/>
                <w:color w:val="auto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运营 (维)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浙江省生态环境设施运营服务能力评价证书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（申报项目请打√）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□城镇集中式污水处理设施运营服务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□农村生活污水处理设施运营服务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工业废水处理设施运营服务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□工业园区集中式废水处理设施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□纺织染整废水处理设施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□造纸废水处理设施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□电镀废水处理设施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□钢铁工业废水处理设施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□其他：                                               ）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□生活垃圾渗滤液处理设施运营服务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□除尘设施运营服务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□工业废气治理设施运营服务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（□吸附法工业有机废气治理设施</w:t>
            </w:r>
          </w:p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□催化燃烧法工业有机废气治理设施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□蓄热式催化燃烧法工业有机废气治理设施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）</w:t>
            </w:r>
          </w:p>
          <w:p>
            <w:pPr>
              <w:ind w:firstLine="660" w:firstLineChars="3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□其他：                                               ）</w:t>
            </w:r>
          </w:p>
          <w:p>
            <w:pPr>
              <w:ind w:firstLine="660" w:firstLineChars="3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□饮食业油烟净化设施运营服务</w:t>
            </w:r>
          </w:p>
          <w:p>
            <w:pPr>
              <w:ind w:firstLine="660" w:firstLineChars="3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□固体废物处理处置设施运营服务</w:t>
            </w:r>
          </w:p>
          <w:p>
            <w:pPr>
              <w:ind w:firstLine="660" w:firstLineChars="3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（□生活垃圾焚烧设施</w:t>
            </w:r>
          </w:p>
          <w:p>
            <w:pPr>
              <w:ind w:firstLine="660" w:firstLineChars="3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□生活垃圾填埋场</w:t>
            </w:r>
          </w:p>
          <w:p>
            <w:pPr>
              <w:ind w:firstLine="660" w:firstLineChars="3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□生活污水污泥处理设施</w:t>
            </w:r>
          </w:p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□餐厨垃圾处理设施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）</w:t>
            </w:r>
          </w:p>
          <w:p>
            <w:pPr>
              <w:ind w:firstLine="660" w:firstLineChars="3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□其他：                                               ）</w:t>
            </w:r>
          </w:p>
          <w:p>
            <w:pPr>
              <w:ind w:firstLine="660" w:firstLineChars="3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□生态修复设施运营服务</w:t>
            </w:r>
          </w:p>
          <w:p>
            <w:pPr>
              <w:ind w:firstLine="660" w:firstLineChars="300"/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（□自然生态水环境修复净化设施</w:t>
            </w:r>
          </w:p>
          <w:p>
            <w:pPr>
              <w:ind w:firstLine="881" w:firstLineChars="400"/>
              <w:jc w:val="both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□自然生态水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  <w:t>资源保护与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净化设施</w:t>
            </w:r>
          </w:p>
          <w:p>
            <w:pPr>
              <w:ind w:firstLine="880" w:firstLineChars="400"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土壤修复净化设施）</w:t>
            </w:r>
          </w:p>
          <w:p>
            <w:pPr>
              <w:jc w:val="both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□自动监控系统（气）运营服务</w:t>
            </w:r>
          </w:p>
          <w:p>
            <w:pPr>
              <w:jc w:val="both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□自动监控系统（水）运营服务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 xml:space="preserve">浙江省生态与环境修复运营服务 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 xml:space="preserve">在线监测系统运行服务 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 xml:space="preserve">地表水环境自动监测系统运维服务 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 xml:space="preserve">浙江省生态环境污染治理设施运行服务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生活垃圾第三方运维机构服务能力评价证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□生活垃圾收集 □运输 □贮存  □分类  □利用等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农村生活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水处理设施运行维护单位服务能力评价证书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农村生活污水处理设施运行维护单位服务能力评价证书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地下空间与非开挖施工运维机构服务能力评价证书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海水养殖尾水运维服务能力评价证书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ind w:firstLine="3524" w:firstLineChars="800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浙江省污染场地环境风险调查评估服务能力评价证书</w:t>
            </w:r>
          </w:p>
          <w:p>
            <w:pPr>
              <w:spacing w:beforeLines="50" w:line="0" w:lineRule="atLeast"/>
              <w:jc w:val="both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服务范围：（请打√）  □工业用地   □农业用地  □建设用地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0" w:lineRule="atLeast"/>
              <w:jc w:val="both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浙江省污染场地修复分析检测能力评价证书</w:t>
            </w:r>
          </w:p>
          <w:p>
            <w:pPr>
              <w:spacing w:beforeLines="50" w:line="0" w:lineRule="atLeast"/>
              <w:jc w:val="both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服务范围：（请打√）  □工业用地   □农业用地  □建设用地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 xml:space="preserve">浙江省建设项目竣工环保验收服务能力评价证书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服务范围：（请打√） □污染影响类   □生态影响类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浙江省生态环境建设项目监理服务能力评价证书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服务范围：（请打√）  □生态工程  □环境工程  □农林水利 □海洋工程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环保管家服务能力评价证书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服务范围：（请打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）□为工业园区及企业提供从项目立项 □环境影响评价  □环境监测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□环境监理 □排污许可证咨询服务 □环保政策解读 □环保问题咨询 □环保决策指导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□环境风险管控  □污染物达标排放咨询 □污染治理 及环保设备运行维护 □项目调查报告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 危险废物规范化管理及危险废物鉴别 □清洁生产咨询□项目分析报告 □ 资金申请报告</w:t>
            </w:r>
            <w:r>
              <w:rPr>
                <w:rFonts w:hint="eastAsia" w:ascii="宋体" w:hAnsi="宋体" w:eastAsia="宋体" w:cs="宋体"/>
                <w:color w:val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</w:rPr>
              <w:t xml:space="preserve">□资金验收报告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其他项目（请手写注明类别）：</w:t>
            </w:r>
            <w:r>
              <w:rPr>
                <w:rFonts w:hint="eastAsia" w:ascii="宋体" w:hAnsi="宋体" w:eastAsia="宋体" w:cs="宋体"/>
                <w:color w:val="auto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碳排放管理服务能力评价证书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服务范围：（请打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）□碳排放监测□碳排放核算□碳排放核查□碳排放交易□碳排放咨询  </w:t>
            </w:r>
          </w:p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color w:val="auto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其他项目（请手写注明类别）：</w:t>
            </w:r>
            <w:r>
              <w:rPr>
                <w:rFonts w:hint="eastAsia" w:ascii="宋体" w:hAnsi="宋体" w:eastAsia="宋体" w:cs="宋体"/>
                <w:color w:val="auto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浙江省生态环保技术咨询服务能力评价证书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生态环境损害鉴定评估服务能力评价证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浙江省生态环境清洁生产审核服务能力评价证书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浙江省节能评估服务能力评价证书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服务范围：□轻工、□纺织、□电子设备制造   □</w:t>
            </w:r>
            <w:r>
              <w:rPr>
                <w:rFonts w:ascii="宋体" w:hAnsi="宋体" w:eastAsia="宋体" w:cs="宋体"/>
                <w:color w:val="auto"/>
              </w:rPr>
              <w:t>钢铁、</w:t>
            </w:r>
            <w:r>
              <w:rPr>
                <w:rFonts w:hint="eastAsia" w:ascii="宋体" w:hAnsi="宋体" w:eastAsia="宋体" w:cs="宋体"/>
                <w:color w:val="auto"/>
              </w:rPr>
              <w:t>□</w:t>
            </w:r>
            <w:r>
              <w:rPr>
                <w:rFonts w:ascii="宋体" w:hAnsi="宋体" w:eastAsia="宋体" w:cs="宋体"/>
                <w:color w:val="auto"/>
              </w:rPr>
              <w:t>有色、</w:t>
            </w:r>
            <w:r>
              <w:rPr>
                <w:rFonts w:hint="eastAsia" w:ascii="宋体" w:hAnsi="宋体" w:eastAsia="宋体" w:cs="宋体"/>
                <w:color w:val="auto"/>
              </w:rPr>
              <w:t>□</w:t>
            </w:r>
            <w:r>
              <w:rPr>
                <w:rFonts w:ascii="宋体" w:hAnsi="宋体" w:eastAsia="宋体" w:cs="宋体"/>
                <w:color w:val="auto"/>
              </w:rPr>
              <w:t>石化、</w:t>
            </w:r>
            <w:r>
              <w:rPr>
                <w:rFonts w:hint="eastAsia" w:ascii="宋体" w:hAnsi="宋体" w:eastAsia="宋体" w:cs="宋体"/>
                <w:color w:val="auto"/>
              </w:rPr>
              <w:t>□</w:t>
            </w:r>
            <w:r>
              <w:rPr>
                <w:rFonts w:ascii="宋体" w:hAnsi="宋体" w:eastAsia="宋体" w:cs="宋体"/>
                <w:color w:val="auto"/>
              </w:rPr>
              <w:t>化工、</w:t>
            </w:r>
            <w:r>
              <w:rPr>
                <w:rFonts w:hint="eastAsia" w:ascii="宋体" w:hAnsi="宋体" w:eastAsia="宋体" w:cs="宋体"/>
                <w:color w:val="auto"/>
              </w:rPr>
              <w:t>□</w:t>
            </w:r>
            <w:r>
              <w:rPr>
                <w:rFonts w:ascii="宋体" w:hAnsi="宋体" w:eastAsia="宋体" w:cs="宋体"/>
                <w:color w:val="auto"/>
              </w:rPr>
              <w:t>建材、</w:t>
            </w:r>
            <w:r>
              <w:rPr>
                <w:rFonts w:hint="eastAsia" w:ascii="宋体" w:hAnsi="宋体" w:eastAsia="宋体" w:cs="宋体"/>
                <w:color w:val="auto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配套类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生态修复企业信用评级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（环境污染治理企业信用等级证书）</w:t>
            </w:r>
          </w:p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星级售后服务单位证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 xml:space="preserve">室内环境污染净化治理证书/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室内环境检测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8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浙江省生态与环境修复技术协会标准符合性证书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申报项目请打√）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根据《生态环境保护产品评审方法及程序》（ Q/EERT 001—2018），生态环境保护产品分类符合HJ/T 11、HJ/T 12标准，要第三方检测机构检测报告，求，具体分类如下：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□空气污染治理产品(装备)； □水污染治理产品(装备)； □ 噪声与振动治理产品(装备)；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□固体废弃物处理处置产品(装备)； □放射性与电磁波防护产品(设备)； □ 环境检测监测分析仪器；  □环保药剂；  □ 环保专用配件器材；□ 水、大气及土壤环境修复产品(设备)；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□无废设备新能源、新材料的技术设备，臭氧层消耗物质替代品；□利用工业“三废”实现废弃物减量化资源化技术设备及工艺；</w:t>
            </w:r>
            <w:r>
              <w:rPr>
                <w:rFonts w:hint="eastAsia" w:ascii="宋体" w:hAnsi="宋体" w:eastAsia="宋体" w:cs="宋体"/>
                <w:color w:val="auto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</w:rPr>
              <w:t xml:space="preserve">其他环保产品（设备）。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企业环保生产安全类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8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安环管家服务能力评价证书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服务范围：（请打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）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□新、改、扩建环保设施安全风险管理服务，污染治理及环保设备运行维护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□组织专家环保设备、产品和工艺环保技术审查和科学论证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□危险废物规范化管理及危险废物鉴别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□风险评估□应急预案□ EHS体系咨询</w:t>
            </w:r>
          </w:p>
          <w:p>
            <w:pPr>
              <w:rPr>
                <w:rFonts w:ascii="宋体" w:hAnsi="宋体" w:eastAsia="宋体" w:cs="宋体"/>
                <w:b/>
                <w:bCs/>
                <w:color w:val="auto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其他项目（请手写注明类别）：</w:t>
            </w:r>
            <w:r>
              <w:rPr>
                <w:rFonts w:hint="eastAsia" w:ascii="宋体" w:hAnsi="宋体" w:eastAsia="宋体" w:cs="宋体"/>
                <w:color w:val="auto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3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有限空间（给排水）服务能力评价证书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服务范围：（请打√）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□城镇排水管道检测  □评估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8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排水管道养护维修企业作业证书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□ 核定为作业类别 特种类 □核定为作业类别  CCTV类  □核定为作业类别 壹类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kern w:val="2"/>
              </w:rPr>
              <w:t xml:space="preserve">非开挖施工类 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kern w:val="2"/>
              </w:rPr>
              <w:t xml:space="preserve">非开挖管道修复类 </w:t>
            </w:r>
            <w:r>
              <w:rPr>
                <w:rFonts w:hint="eastAsia" w:ascii="宋体" w:hAnsi="宋体" w:eastAsia="宋体" w:cs="宋体"/>
                <w:color w:val="auto"/>
              </w:rPr>
              <w:t xml:space="preserve"> □核定符合排水设施维护</w:t>
            </w:r>
            <w:r>
              <w:rPr>
                <w:rFonts w:hint="eastAsia" w:ascii="宋体" w:hAnsi="宋体" w:eastAsia="宋体" w:cs="宋体"/>
                <w:color w:val="auto"/>
                <w:kern w:val="2"/>
              </w:rPr>
              <w:t>潜水作业条件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市政管网运维养护作业能力证书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污水管道清理疏通服务能力评价证书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>
            <w:pPr>
              <w:spacing w:beforeLines="50" w:line="420" w:lineRule="exact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地下管网非开挖修复工程服务能力评价证书</w:t>
            </w:r>
          </w:p>
        </w:tc>
      </w:tr>
    </w:tbl>
    <w:p>
      <w:pPr>
        <w:tabs>
          <w:tab w:val="left" w:pos="5220"/>
        </w:tabs>
        <w:rPr>
          <w:rFonts w:ascii="方正公文小标宋" w:hAnsi="方正公文小标宋" w:eastAsia="方正公文小标宋" w:cs="方正公文小标宋"/>
          <w:color w:val="auto"/>
          <w:spacing w:val="8"/>
          <w:sz w:val="32"/>
        </w:rPr>
      </w:pPr>
    </w:p>
    <w:p>
      <w:pPr>
        <w:jc w:val="center"/>
        <w:rPr>
          <w:rFonts w:ascii="方正公文小标宋" w:hAnsi="方正公文小标宋" w:eastAsia="方正公文小标宋" w:cs="方正公文小标宋"/>
          <w:color w:val="auto"/>
          <w:spacing w:val="8"/>
          <w:sz w:val="32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pacing w:val="8"/>
          <w:sz w:val="32"/>
        </w:rPr>
        <w:t xml:space="preserve"> 自评表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482"/>
        <w:gridCol w:w="887"/>
        <w:gridCol w:w="5140"/>
        <w:gridCol w:w="814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exact"/>
          <w:jc w:val="center"/>
        </w:trPr>
        <w:tc>
          <w:tcPr>
            <w:tcW w:w="1019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条款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分值</w:t>
            </w:r>
          </w:p>
        </w:tc>
        <w:tc>
          <w:tcPr>
            <w:tcW w:w="273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评审依据</w:t>
            </w: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自评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得分</w:t>
            </w:r>
          </w:p>
        </w:tc>
        <w:tc>
          <w:tcPr>
            <w:tcW w:w="33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4" w:hRule="exact"/>
          <w:jc w:val="center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both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1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企业规模，营业范围，上一年度营业额和资产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10分</w:t>
            </w:r>
          </w:p>
        </w:tc>
        <w:tc>
          <w:tcPr>
            <w:tcW w:w="2737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①注册资金100万以上 3分，100万以下 1-2分；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②营业执照营业范围生态环保类 3分，生态环保类是其中之一 1分；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③盈利 2分，亏损 1分；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④注册资金满足管理办法基本要求 2分， 不满足酌情给 1分。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35" w:hRule="exact"/>
          <w:jc w:val="center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2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企业成立时间，企业简介及发展规划，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办公用房和生产场地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15分</w:t>
            </w:r>
          </w:p>
        </w:tc>
        <w:tc>
          <w:tcPr>
            <w:tcW w:w="2737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①7年以上 4分，5-7年 3分，3-5年以上2分，1年以上1分,不足1年1-5分（二个月0分）；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②公司网站或微信公众、企业宣传电子或纸质2分（没有不得分）；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③60平米以上有3分，30-50平米2分，10-30平米1分 没有得0分；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④100平米以上6分，80-100平米5分，50-80平米4分，10-50平米3分，没有0分。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5" w:hRule="exact"/>
          <w:jc w:val="center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3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办公自动化相关设备，设计设施，实验及监测设备，施工过程管理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10分</w:t>
            </w:r>
          </w:p>
        </w:tc>
        <w:tc>
          <w:tcPr>
            <w:tcW w:w="2737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①电脑5台以上，打印机2台以上，2分，没有得0分；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②能提供电脑内已完成的CAD图纸（该企业设计）的，企业能自行出图的2分，没有得0分；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③检测设备一个测试指标2分，与有资质的第三方检测机构合作2分（提供合作协议、营业执照、资质证明、检测分项表）。没有得0分；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④育有资质建筑单位合作（协议、营业执照、建筑资质证书、安全许可证、完整的施工现场作业流程，安全防范措施设计、应急预案和相关的预防措施），有得2分，没有得0分）。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3" w:hRule="exact"/>
          <w:jc w:val="center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4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管理体系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5分</w:t>
            </w:r>
          </w:p>
        </w:tc>
        <w:tc>
          <w:tcPr>
            <w:tcW w:w="2737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企业通过三体系认证（SI09001质量体系管理体系认证，IS014001环境管理体系认证、0HSA18001职业安全管理体系认证），企业内部建立管理体系（质量手册、程序文件），有得5分，没有得0分。</w:t>
            </w: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5" w:hRule="exact"/>
          <w:jc w:val="center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5</w:t>
            </w:r>
          </w:p>
        </w:tc>
        <w:tc>
          <w:tcPr>
            <w:tcW w:w="789" w:type="pct"/>
            <w:vAlign w:val="center"/>
          </w:tcPr>
          <w:p>
            <w:pPr>
              <w:jc w:val="both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技能证书和</w:t>
            </w:r>
          </w:p>
          <w:p>
            <w:pPr>
              <w:jc w:val="both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技术职称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25分</w:t>
            </w:r>
          </w:p>
        </w:tc>
        <w:tc>
          <w:tcPr>
            <w:tcW w:w="2737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①五个专职5分，二个兼职1分；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②环保注册工程师或其他专业技术高级工程师（1分/人，最高分10），其他专业技术工程师、技师、高级工2分/人，（最高10分）；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4" w:hRule="exact"/>
          <w:jc w:val="center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7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提供的主要产品或服务，生产场所有  教育培训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20分</w:t>
            </w:r>
          </w:p>
        </w:tc>
        <w:tc>
          <w:tcPr>
            <w:tcW w:w="2737" w:type="pct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产品和服务，（最高2分）；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② 废水、废气、检测、咨询、标准、法律法规、实施安全等培训证书 （14分）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③发明专利2个以上，实用新型专利2个以上，外观设计专利2个以上（最高分2分）；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④企业建立了面向不同层次的培训体系，师父带徒，建立交叉培训、定期轮岗等多项培训方法，鼓励员工一专多能（最高分2分）</w:t>
            </w: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4" w:hRule="exact"/>
          <w:jc w:val="center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8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主要工艺流程及设备名称，主要技术指标达标及，运行情况，客户评价，竞争力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5分</w:t>
            </w:r>
          </w:p>
        </w:tc>
        <w:tc>
          <w:tcPr>
            <w:tcW w:w="2737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①有1分，没有得0分（查设计方案）；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②有1分，没有0分（查检测报告）；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③有1分，没有得0分；</w:t>
            </w: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 xml:space="preserve">④顾客满意度、顾客忠诚度、市场占有率、技术水平2分 </w:t>
            </w: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exact"/>
          <w:jc w:val="center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9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在职人员社保，积极参加协会活动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5分</w:t>
            </w:r>
          </w:p>
        </w:tc>
        <w:tc>
          <w:tcPr>
            <w:tcW w:w="2737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有5分，没有得0分；</w:t>
            </w: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exact"/>
          <w:jc w:val="center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10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业绩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5分</w:t>
            </w:r>
          </w:p>
        </w:tc>
        <w:tc>
          <w:tcPr>
            <w:tcW w:w="2737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有5分，没有得0分（合同、方案、检测、评价）</w:t>
            </w: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exact"/>
          <w:jc w:val="center"/>
        </w:trPr>
        <w:tc>
          <w:tcPr>
            <w:tcW w:w="1019" w:type="pct"/>
            <w:gridSpan w:val="2"/>
            <w:vAlign w:val="center"/>
          </w:tcPr>
          <w:p>
            <w:pPr>
              <w:ind w:right="-444" w:rightChars="-202"/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总分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100分</w:t>
            </w:r>
          </w:p>
        </w:tc>
        <w:tc>
          <w:tcPr>
            <w:tcW w:w="2737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4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  <w:tc>
          <w:tcPr>
            <w:tcW w:w="334" w:type="pct"/>
          </w:tcPr>
          <w:p>
            <w:pPr>
              <w:rPr>
                <w:rFonts w:ascii="宋体" w:hAnsi="宋体" w:eastAsia="宋体" w:cs="宋体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exac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</w:rPr>
              <w:t>备注：本表满分100分，甲级90分以上第5和10项不能缺项得分，乙级70分以上不能缺第5、6、9、10项，50分以上临时合格。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方正公文小标宋" w:hAnsi="方正公文小标宋" w:eastAsia="方正公文小标宋" w:cs="方正公文小标宋"/>
          <w:color w:val="auto"/>
          <w:spacing w:val="8"/>
          <w:sz w:val="32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pacing w:val="8"/>
          <w:sz w:val="32"/>
        </w:rPr>
        <w:br w:type="page"/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pacing w:val="8"/>
          <w:sz w:val="32"/>
        </w:rPr>
        <w:t>工程总承包负责人员表</w:t>
      </w:r>
    </w:p>
    <w:tbl>
      <w:tblPr>
        <w:tblStyle w:val="4"/>
        <w:tblpPr w:leftFromText="180" w:rightFromText="180" w:vertAnchor="text" w:horzAnchor="page" w:tblpX="1689" w:tblpY="32"/>
        <w:tblOverlap w:val="never"/>
        <w:tblW w:w="49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412"/>
        <w:gridCol w:w="300"/>
        <w:gridCol w:w="1023"/>
        <w:gridCol w:w="1325"/>
        <w:gridCol w:w="522"/>
        <w:gridCol w:w="813"/>
        <w:gridCol w:w="291"/>
        <w:gridCol w:w="1854"/>
      </w:tblGrid>
      <w:tr>
        <w:trPr>
          <w:trHeight w:val="580" w:hRule="atLeast"/>
        </w:trPr>
        <w:tc>
          <w:tcPr>
            <w:tcW w:w="908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929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1000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99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1006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908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</w:t>
            </w:r>
          </w:p>
        </w:tc>
        <w:tc>
          <w:tcPr>
            <w:tcW w:w="4091" w:type="pct"/>
            <w:gridSpan w:val="8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908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4091" w:type="pct"/>
            <w:gridSpan w:val="8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908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身份证号码</w:t>
            </w:r>
          </w:p>
        </w:tc>
        <w:tc>
          <w:tcPr>
            <w:tcW w:w="2203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1162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674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1720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1605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学历（最高）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1674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20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5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</w:trPr>
        <w:tc>
          <w:tcPr>
            <w:tcW w:w="1674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325" w:type="pct"/>
            <w:gridSpan w:val="7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4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职称（任职资格）</w:t>
            </w:r>
          </w:p>
        </w:tc>
        <w:tc>
          <w:tcPr>
            <w:tcW w:w="1720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1605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674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20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05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674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主要工作简历和业绩：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325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rPr>
          <w:rFonts w:hint="eastAsia" w:ascii="方正公文小标宋" w:hAnsi="方正公文小标宋" w:eastAsia="方正公文小标宋" w:cs="方正公文小标宋"/>
          <w:color w:val="auto"/>
          <w:spacing w:val="8"/>
          <w:sz w:val="32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pacing w:val="8"/>
          <w:sz w:val="32"/>
        </w:rPr>
        <w:br w:type="page"/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pacing w:val="8"/>
          <w:sz w:val="32"/>
        </w:rPr>
        <w:t>专项设计负责人员表</w:t>
      </w:r>
    </w:p>
    <w:tbl>
      <w:tblPr>
        <w:tblStyle w:val="4"/>
        <w:tblpPr w:leftFromText="180" w:rightFromText="180" w:vertAnchor="text" w:horzAnchor="page" w:tblpX="1689" w:tblpY="32"/>
        <w:tblOverlap w:val="never"/>
        <w:tblW w:w="48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09"/>
        <w:gridCol w:w="303"/>
        <w:gridCol w:w="1023"/>
        <w:gridCol w:w="1324"/>
        <w:gridCol w:w="520"/>
        <w:gridCol w:w="816"/>
        <w:gridCol w:w="290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</w:trPr>
        <w:tc>
          <w:tcPr>
            <w:tcW w:w="913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990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913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</w:t>
            </w:r>
          </w:p>
        </w:tc>
        <w:tc>
          <w:tcPr>
            <w:tcW w:w="4086" w:type="pct"/>
            <w:gridSpan w:val="8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913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4086" w:type="pct"/>
            <w:gridSpan w:val="8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913" w:type="pc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身份证号码</w:t>
            </w:r>
          </w:p>
        </w:tc>
        <w:tc>
          <w:tcPr>
            <w:tcW w:w="2210" w:type="pct"/>
            <w:gridSpan w:val="4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27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1148" w:type="pct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680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1726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1592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学历（最高）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</w:trPr>
        <w:tc>
          <w:tcPr>
            <w:tcW w:w="1680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26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92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</w:trPr>
        <w:tc>
          <w:tcPr>
            <w:tcW w:w="1680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319" w:type="pct"/>
            <w:gridSpan w:val="7"/>
          </w:tcPr>
          <w:p>
            <w:pPr>
              <w:spacing w:line="240" w:lineRule="atLeast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0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职称（任职资格）</w:t>
            </w:r>
          </w:p>
        </w:tc>
        <w:tc>
          <w:tcPr>
            <w:tcW w:w="1726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1592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680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26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592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680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主要工作简历和业绩：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319" w:type="pct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jc w:val="center"/>
        <w:rPr>
          <w:color w:val="auto"/>
          <w:sz w:val="15"/>
          <w:szCs w:val="15"/>
        </w:rPr>
      </w:pPr>
    </w:p>
    <w:p>
      <w:pPr>
        <w:rPr>
          <w:rFonts w:hint="eastAsia" w:ascii="微软雅黑" w:hAnsi="微软雅黑" w:eastAsia="微软雅黑" w:cs="方正公文小标宋"/>
          <w:b/>
          <w:color w:val="auto"/>
          <w:spacing w:val="8"/>
          <w:sz w:val="32"/>
        </w:rPr>
      </w:pPr>
      <w:r>
        <w:rPr>
          <w:rFonts w:hint="eastAsia" w:ascii="微软雅黑" w:hAnsi="微软雅黑" w:eastAsia="微软雅黑" w:cs="方正公文小标宋"/>
          <w:b/>
          <w:color w:val="auto"/>
          <w:spacing w:val="8"/>
          <w:sz w:val="32"/>
        </w:rPr>
        <w:br w:type="page"/>
      </w:r>
    </w:p>
    <w:p>
      <w:pPr>
        <w:jc w:val="center"/>
        <w:rPr>
          <w:rFonts w:ascii="微软雅黑" w:hAnsi="微软雅黑" w:eastAsia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方正公文小标宋"/>
          <w:b/>
          <w:color w:val="auto"/>
          <w:spacing w:val="8"/>
          <w:sz w:val="32"/>
        </w:rPr>
        <w:t>环保实施安全负责人员表</w:t>
      </w:r>
    </w:p>
    <w:tbl>
      <w:tblPr>
        <w:tblStyle w:val="4"/>
        <w:tblW w:w="4871" w:type="pct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08"/>
        <w:gridCol w:w="304"/>
        <w:gridCol w:w="1020"/>
        <w:gridCol w:w="1327"/>
        <w:gridCol w:w="514"/>
        <w:gridCol w:w="820"/>
        <w:gridCol w:w="284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52" w:type="pct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935" w:type="pct"/>
            <w:gridSpan w:val="2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603" w:type="pct"/>
            <w:gridSpan w:val="2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045" w:type="pct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52" w:type="pct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4147" w:type="pct"/>
            <w:gridSpan w:val="8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52" w:type="pct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4147" w:type="pct"/>
            <w:gridSpan w:val="8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52" w:type="pct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身份证号码</w:t>
            </w:r>
          </w:p>
        </w:tc>
        <w:tc>
          <w:tcPr>
            <w:tcW w:w="2217" w:type="pct"/>
            <w:gridSpan w:val="4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</w:p>
        </w:tc>
        <w:tc>
          <w:tcPr>
            <w:tcW w:w="729" w:type="pct"/>
            <w:gridSpan w:val="2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200" w:type="pct"/>
            <w:gridSpan w:val="2"/>
            <w:vAlign w:val="center"/>
          </w:tcPr>
          <w:p>
            <w:pPr>
              <w:spacing w:line="240" w:lineRule="atLeas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2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172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所学专业</w:t>
            </w:r>
          </w:p>
        </w:tc>
        <w:tc>
          <w:tcPr>
            <w:tcW w:w="1649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学历（最高）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2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2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649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2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3378" w:type="pct"/>
            <w:gridSpan w:val="7"/>
          </w:tcPr>
          <w:p>
            <w:pPr>
              <w:spacing w:line="240" w:lineRule="atLeas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2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职称（任职资格）</w:t>
            </w:r>
          </w:p>
        </w:tc>
        <w:tc>
          <w:tcPr>
            <w:tcW w:w="172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1649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2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2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649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62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729" w:type="pct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1649" w:type="pct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6" w:hRule="atLeast"/>
        </w:trPr>
        <w:tc>
          <w:tcPr>
            <w:tcW w:w="5000" w:type="pct"/>
            <w:gridSpan w:val="9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主要工作简历和业绩：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 xml:space="preserve">       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                  </w:t>
            </w:r>
          </w:p>
          <w:p>
            <w:pPr>
              <w:spacing w:line="400" w:lineRule="exact"/>
              <w:rPr>
                <w:rFonts w:eastAsiaTheme="minorEastAsia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         </w:t>
            </w:r>
            <w:r>
              <w:rPr>
                <w:rFonts w:hint="eastAsia"/>
                <w:color w:val="auto"/>
                <w:sz w:val="24"/>
              </w:rPr>
              <w:t xml:space="preserve">                   </w:t>
            </w:r>
          </w:p>
        </w:tc>
      </w:tr>
    </w:tbl>
    <w:p>
      <w:pPr>
        <w:jc w:val="center"/>
        <w:rPr>
          <w:color w:val="auto"/>
          <w:szCs w:val="21"/>
        </w:rPr>
      </w:pPr>
      <w:r>
        <w:rPr>
          <w:rFonts w:hint="eastAsia"/>
          <w:color w:val="auto"/>
          <w:sz w:val="15"/>
          <w:szCs w:val="15"/>
        </w:rPr>
        <w:t xml:space="preserve">          </w:t>
      </w:r>
      <w:r>
        <w:rPr>
          <w:rFonts w:hint="eastAsia"/>
          <w:color w:val="auto"/>
          <w:szCs w:val="21"/>
        </w:rPr>
        <w:t xml:space="preserve">                               </w:t>
      </w:r>
    </w:p>
    <w:p>
      <w:pPr>
        <w:jc w:val="both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备注：</w:t>
      </w:r>
    </w:p>
    <w:p>
      <w:pPr>
        <w:jc w:val="both"/>
        <w:rPr>
          <w:rFonts w:hint="eastAsia"/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val="en-US" w:eastAsia="zh-Hans"/>
        </w:rPr>
        <w:t>.</w:t>
      </w:r>
      <w:r>
        <w:rPr>
          <w:rFonts w:hint="eastAsia"/>
          <w:color w:val="auto"/>
          <w:sz w:val="28"/>
          <w:szCs w:val="28"/>
        </w:rPr>
        <w:t>电子版（扫描件或拍照）身份证、学历学位证书、专业职称证书等，发送邮箱13735506129@163.com.</w:t>
      </w:r>
    </w:p>
    <w:p>
      <w:pPr>
        <w:jc w:val="both"/>
      </w:pPr>
      <w:r>
        <w:rPr>
          <w:rFonts w:hint="default"/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  <w:lang w:val="en-US" w:eastAsia="zh-Hans"/>
        </w:rPr>
        <w:t>.</w:t>
      </w:r>
      <w:r>
        <w:rPr>
          <w:rFonts w:hint="default"/>
          <w:color w:val="auto"/>
          <w:sz w:val="28"/>
          <w:szCs w:val="28"/>
          <w:lang w:eastAsia="zh-Hans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Hans"/>
        </w:rPr>
        <w:t>请提交</w:t>
      </w:r>
      <w:r>
        <w:rPr>
          <w:rFonts w:hint="eastAsia"/>
          <w:color w:val="auto"/>
          <w:sz w:val="28"/>
          <w:szCs w:val="28"/>
        </w:rPr>
        <w:t>单位营业执照盖单位公章扫描件</w:t>
      </w:r>
      <w:r>
        <w:rPr>
          <w:rFonts w:hint="default"/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单位办公场所照片</w:t>
      </w:r>
      <w:r>
        <w:rPr>
          <w:rFonts w:hint="default"/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单位简介、主要业务范围和产品技术、获奖或荣誉称号情况</w:t>
      </w:r>
      <w:r>
        <w:rPr>
          <w:rFonts w:hint="default"/>
          <w:color w:val="auto"/>
          <w:sz w:val="28"/>
          <w:szCs w:val="28"/>
        </w:rPr>
        <w:t>。</w:t>
      </w:r>
      <w:bookmarkStart w:id="0" w:name="_GoBack"/>
      <w:bookmarkEnd w:id="0"/>
    </w:p>
    <w:p/>
    <w:sectPr>
      <w:headerReference r:id="rId3" w:type="default"/>
      <w:footerReference r:id="rId4" w:type="default"/>
      <w:pgSz w:w="12240" w:h="15840"/>
      <w:pgMar w:top="2098" w:right="1474" w:bottom="1984" w:left="1587" w:header="567" w:footer="6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E029A"/>
    <w:multiLevelType w:val="multilevel"/>
    <w:tmpl w:val="5D1E029A"/>
    <w:lvl w:ilvl="0" w:tentative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9495"/>
    <w:rsid w:val="1B74903B"/>
    <w:rsid w:val="7BFF9495"/>
    <w:rsid w:val="FE7CE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2023-02-18T13:40:00Z</dcterms:created>
  <dc:creator>Amy</dc:creator>
  <cp:lastModifiedBy>Amy</cp:lastModifiedBy>
  <dcterms:modified xsi:type="dcterms:W3CDTF">2023-02-17T21:57:49Z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10A214769D659F3FDA83EF63D15E4773</vt:lpwstr>
  </property>
</Properties>
</file>